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mallCaps w:val="1"/>
          <w:sz w:val="24"/>
          <w:szCs w:val="24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828675</wp:posOffset>
                </wp:positionH>
                <wp:positionV relativeFrom="margin">
                  <wp:posOffset>576580</wp:posOffset>
                </wp:positionV>
                <wp:extent cx="6287135" cy="832104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660" y="0"/>
                          <a:ext cx="6287135" cy="8321040"/>
                          <a:chOff x="2202660" y="0"/>
                          <a:chExt cx="6286680" cy="7560001"/>
                        </a:xfrm>
                      </wpg:grpSpPr>
                      <wpg:grpSp>
                        <wpg:cNvGrpSpPr/>
                        <wpg:grpSpPr>
                          <a:xfrm>
                            <a:off x="2202660" y="0"/>
                            <a:ext cx="6286680" cy="7560001"/>
                            <a:chOff x="0" y="0"/>
                            <a:chExt cx="6286680" cy="832032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286675" cy="8320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6286680" cy="8320320"/>
                              <a:chOff x="0" y="0"/>
                              <a:chExt cx="6286680" cy="832032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0" y="0"/>
                                <a:ext cx="6286680" cy="8320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6286680" cy="8320320"/>
                                <a:chOff x="0" y="0"/>
                                <a:chExt cx="6286680" cy="832032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6286680" cy="8320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3113280" y="7906320"/>
                                  <a:ext cx="3173040" cy="41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484960" cy="461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Framework 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Award Form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200" w:before="0" w:line="273.0000114440918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</w:r>
                                  </w:p>
                                </w:txbxContent>
                              </wps:txbx>
                              <wps:bodyPr anchorCtr="0" anchor="b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828675</wp:posOffset>
                </wp:positionH>
                <wp:positionV relativeFrom="margin">
                  <wp:posOffset>576580</wp:posOffset>
                </wp:positionV>
                <wp:extent cx="6287135" cy="832104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7135" cy="8321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752475</wp:posOffset>
            </wp:positionV>
            <wp:extent cx="1647190" cy="1371600"/>
            <wp:effectExtent b="0" l="0" r="0" t="0"/>
            <wp:wrapNone/>
            <wp:docPr descr="Crown Commercial Service" id="2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5"/>
        <w:gridCol w:w="2040"/>
        <w:gridCol w:w="8056"/>
        <w:tblGridChange w:id="0">
          <w:tblGrid>
            <w:gridCol w:w="435"/>
            <w:gridCol w:w="2040"/>
            <w:gridCol w:w="8056"/>
          </w:tblGrid>
        </w:tblGridChange>
      </w:tblGrid>
      <w:tr>
        <w:trPr>
          <w:cantSplit w:val="0"/>
          <w:trHeight w:val="107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CCS </w:t>
            </w:r>
          </w:p>
        </w:tc>
        <w:tc>
          <w:tcPr>
            <w:tcBorders>
              <w:top w:color="000000" w:space="0" w:sz="8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before="0" w:line="24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Supplier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Layout w:type="fixed"/>
              <w:tblLook w:val="00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before="0" w:line="240" w:lineRule="auto"/>
                    <w:ind w:left="-75" w:right="0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0E">
                  <w:pPr>
                    <w:spacing w:after="0" w:before="0" w:line="240" w:lineRule="auto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before="0" w:line="240" w:lineRule="auto"/>
                    <w:ind w:left="-75" w:right="0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10">
                  <w:pPr>
                    <w:spacing w:after="0" w:before="0" w:line="240" w:lineRule="auto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before="0" w:line="240" w:lineRule="auto"/>
                    <w:ind w:left="-75" w:right="0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12">
                  <w:pPr>
                    <w:spacing w:after="0" w:before="0" w:line="240" w:lineRule="auto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before="0" w:line="240" w:lineRule="auto"/>
                    <w:ind w:left="-75" w:right="0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14">
                  <w:pPr>
                    <w:spacing w:after="0" w:before="0" w:line="240" w:lineRule="auto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SID4GOV ID if you have on</w:t>
                  </w: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before="0" w:line="240" w:lineRule="auto"/>
                    <w:ind w:left="-75" w:right="0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16">
                  <w:pPr>
                    <w:spacing w:after="0" w:before="0" w:line="24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spacing w:after="0" w:before="0" w:line="240" w:lineRule="auto"/>
              <w:ind w:left="283" w:right="0" w:hanging="283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Contract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This framework contract between CCS and the Supplier allows the Supplier to be considered for Call-off Contracts to supply the Deliverables in Lots 1 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nd/or 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This opportunity is advertised in the Contract Notice in the Find a Tender Service reference 2021/S 000-021809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1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Deliverables 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Design, Build and Run Services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Lot 1- allow buyers to purchase Big Data &amp; Analytics professional services based on their requirements.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Commercial Off-The-Shelf Software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Lot 2- allow buyers to purchase Big Data and Analytics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spacing w:after="0" w:before="0" w:line="240" w:lineRule="auto"/>
              <w:ind w:left="0" w:right="936" w:firstLine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To be clarified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0" w:before="0" w:line="240" w:lineRule="auto"/>
              <w:ind w:left="0" w:right="936" w:firstLine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To be clarified</w:t>
            </w:r>
          </w:p>
        </w:tc>
      </w:tr>
      <w:tr>
        <w:trPr>
          <w:cantSplit w:val="0"/>
          <w:trHeight w:val="471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Period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0" w:before="0" w:line="240" w:lineRule="auto"/>
              <w:ind w:left="0" w:right="93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After the initial 2 years, the Framework Contract can be extended for an initial 12 months, and then by a further 12 months, up to April 2025.</w:t>
            </w:r>
          </w:p>
        </w:tc>
      </w:tr>
      <w:tr>
        <w:trPr>
          <w:cantSplit w:val="0"/>
          <w:trHeight w:val="837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Procedure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spacing w:after="0" w:before="0" w:line="240" w:lineRule="auto"/>
              <w:ind w:left="0" w:right="93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spacing w:after="0" w:before="0" w:line="276" w:lineRule="auto"/>
              <w:ind w:left="720" w:right="936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irect award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Expression of Interest, followed by Further Competition Procedure - Restricted to Lot 2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Capability Down-select matrix, followed by Further Competition - Restricted to Lot 1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 Procedure</w:t>
            </w:r>
          </w:p>
          <w:p w:rsidR="00000000" w:rsidDel="00000000" w:rsidP="00000000" w:rsidRDefault="00000000" w:rsidRPr="00000000" w14:paraId="0000003B">
            <w:pPr>
              <w:spacing w:after="0" w:before="0" w:line="240" w:lineRule="auto"/>
              <w:ind w:left="0" w:right="936" w:firstLine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before="0" w:line="240" w:lineRule="auto"/>
              <w:ind w:left="0" w:right="93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D">
            <w:pPr>
              <w:spacing w:after="0" w:before="0" w:line="240" w:lineRule="auto"/>
              <w:ind w:left="0" w:right="93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40">
            <w:pPr>
              <w:spacing w:after="0" w:before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before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2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before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before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spacing w:after="0" w:before="0" w:line="240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1 (Definitions)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RM6195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RM6195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The following Schedules for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RM6195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(in equal order of precedence):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numPr>
                <w:ilvl w:val="1"/>
                <w:numId w:val="4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numPr>
                <w:ilvl w:val="1"/>
                <w:numId w:val="4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numPr>
                <w:ilvl w:val="1"/>
                <w:numId w:val="4"/>
              </w:numPr>
              <w:spacing w:after="0" w:before="0" w:line="276" w:lineRule="auto"/>
              <w:ind w:left="144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4 (Framework Manage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numPr>
                <w:ilvl w:val="1"/>
                <w:numId w:val="4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numPr>
                <w:ilvl w:val="1"/>
                <w:numId w:val="4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5 (Pricing Details)</w:t>
              <w:tab/>
              <w:tab/>
              <w:t xml:space="preserve"> ]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6 (ICT Services) </w:t>
              <w:tab/>
              <w:tab/>
              <w:t xml:space="preserve"> ]</w:t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7 (Key Supplier Staff)</w:t>
              <w:tab/>
              <w:tab/>
              <w:t xml:space="preserve"> ]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8 (Business Continuity and Disaster Recovery)]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9 (Security)</w:t>
              <w:tab/>
              <w:tab/>
              <w:tab/>
              <w:t xml:space="preserve"> ] 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10 (Exit Management) </w:t>
              <w:tab/>
              <w:t xml:space="preserve"> ]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12 (Clustering) </w:t>
              <w:tab/>
              <w:tab/>
              <w:t xml:space="preserve"> ]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13 (Implementation Plan and Testing)  ]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14 (Service Levels) </w:t>
              <w:tab/>
              <w:tab/>
              <w:t xml:space="preserve"> ]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15 (Call-Off Contract management) 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17 (MOD Terms) </w:t>
              <w:tab/>
              <w:tab/>
              <w:t xml:space="preserve"> ]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18 (Background Checks) </w:t>
              <w:tab/>
              <w:t xml:space="preserve"> ]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19 (Scottish Law)</w:t>
              <w:tab/>
              <w:tab/>
              <w:t xml:space="preserve"> ]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20 (Call-Off Specification)</w:t>
              <w:tab/>
              <w:t xml:space="preserve"> ]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21 (Northern Ireland Law) </w:t>
              <w:tab/>
              <w:t xml:space="preserve"> ]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4"/>
              </w:numPr>
              <w:spacing w:after="0" w:before="0" w:line="259" w:lineRule="auto"/>
              <w:ind w:left="2160" w:right="0" w:hanging="36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23 (HMRC Terms)</w:t>
              <w:tab/>
              <w:tab/>
              <w:t xml:space="preserve"> 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0" w:before="0" w:line="259" w:lineRule="auto"/>
              <w:ind w:left="2160" w:right="0" w:firstLine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[Framework Schedule 9 (Cyber Essentials Scheme)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6 (Key Subcontractors)]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7 (Financial Difficulties)]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8 (Guarantee)]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9 (Minimum Standards of Reliability)]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spacing w:after="0" w:before="0" w:line="276" w:lineRule="auto"/>
              <w:ind w:left="144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[J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oint Schedule 12 (Supply Chain Visibility)]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CCS Core Terms (version 3.0.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RM6195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4"/>
              </w:numPr>
              <w:spacing w:after="0" w:before="0" w:line="259" w:lineRule="auto"/>
              <w:ind w:left="450" w:right="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 4 (Call-Off Tender) as long as any parts of the Call-Off Tender that offer a better commercial position for the Buyer (as decided by the Buyer) take precedence over the documents above.]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spacing w:after="0" w:before="0" w:line="276" w:lineRule="auto"/>
              <w:ind w:left="45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RM6195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as long as any part of the Framework Tender that offers a better commercial position for CCS or Buyers (as decided by CCS) take precedence over the documents above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Special Term 1 - </w:t>
            </w: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  <w:rtl w:val="0"/>
              </w:rPr>
              <w:t xml:space="preserve">Core Terms Clause 11.2 replace "£5 million or 150%" with "£1 million or 125%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spacing w:after="200" w:before="0" w:line="276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run any proposed special terms past the Policy Implementation team. Please email operationalsupport@crowncommercial.gov.uk]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 Prices 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spacing w:after="20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Detailed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Insurance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Details in Annex of Joint Schedule 3 (Insurance Requirements).</w:t>
            </w:r>
          </w:p>
        </w:tc>
      </w:tr>
      <w:tr>
        <w:trPr>
          <w:cantSplit w:val="0"/>
          <w:trHeight w:val="939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Essentials Certification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spacing w:after="20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Cyber Essentials Scheme Plus Certificate. Details in Framework Schedule F9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Cyber Essentials Scheme)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Management Charge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spacing w:after="20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Supplier will pay, excluding VAT, 1 %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Manager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TBC</w:t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1"/>
              <w:spacing w:after="200" w:before="0" w:line="276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Authorised Representative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TBC</w:t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1"/>
              <w:spacing w:after="200" w:before="0" w:line="276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Compliance Officer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TBC</w:t>
            </w:r>
          </w:p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1"/>
              <w:spacing w:after="200" w:before="0" w:line="276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Officer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TBC</w:t>
            </w:r>
          </w:p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1"/>
              <w:spacing w:after="200" w:before="0" w:line="276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Protection Liability Cap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spacing w:after="20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£10,000,000</w:t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Marketing Contact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TBC</w:t>
            </w:r>
          </w:p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1"/>
              <w:spacing w:after="200" w:before="0" w:line="276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Key Subcontractors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C4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TBC</w:t>
            </w:r>
          </w:p>
          <w:p w:rsidR="00000000" w:rsidDel="00000000" w:rsidP="00000000" w:rsidRDefault="00000000" w:rsidRPr="00000000" w14:paraId="000000C5">
            <w:pPr>
              <w:spacing w:after="120" w:before="12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120" w:before="12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number]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120" w:before="12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role]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120" w:before="12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000000" w:space="0" w:sz="8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000000" w:space="0" w:sz="8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Authorised Representative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TBC</w:t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widowControl w:val="1"/>
              <w:spacing w:after="200" w:before="0" w:line="276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5"/>
        <w:gridCol w:w="2981"/>
        <w:gridCol w:w="1697"/>
        <w:gridCol w:w="2967"/>
        <w:tblGridChange w:id="0">
          <w:tblGrid>
            <w:gridCol w:w="1525"/>
            <w:gridCol w:w="2981"/>
            <w:gridCol w:w="1697"/>
            <w:gridCol w:w="2967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1"/>
              <w:keepLines w:val="0"/>
              <w:widowControl w:val="1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For and on behalf of the Supplier:</w:t>
            </w:r>
          </w:p>
        </w:tc>
        <w:tc>
          <w:tcPr>
            <w:gridSpan w:val="2"/>
            <w:tcBorders>
              <w:top w:color="000000" w:space="0" w:sz="8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1"/>
              <w:keepLines w:val="0"/>
              <w:widowControl w:val="1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1"/>
              <w:keepLines w:val="0"/>
              <w:widowControl w:val="1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Signature: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Signature: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keepNext w:val="1"/>
              <w:keepLines w:val="0"/>
              <w:widowControl w:val="1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Name: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Name: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1"/>
              <w:keepLines w:val="0"/>
              <w:widowControl w:val="1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Role: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Role: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95b3d7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>
            <w:tcBorders>
              <w:top w:color="95b3d7" w:space="0" w:sz="4" w:val="single"/>
              <w:left w:color="000000" w:space="0" w:sz="8" w:val="single"/>
              <w:bottom w:color="000000" w:space="0" w:sz="8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keepNext w:val="1"/>
              <w:keepLines w:val="0"/>
              <w:widowControl w:val="1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000000" w:space="0" w:sz="8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000000" w:space="0" w:sz="8" w:val="single"/>
              <w:right w:color="95b3d7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top w:color="95b3d7" w:space="0" w:sz="4" w:val="single"/>
              <w:left w:color="95b3d7" w:space="0" w:sz="4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bookmarkStart w:colFirst="0" w:colLast="0" w:name="30j0zll" w:id="1"/>
          <w:bookmarkEnd w:id="1"/>
          <w:p w:rsidR="00000000" w:rsidDel="00000000" w:rsidP="00000000" w:rsidRDefault="00000000" w:rsidRPr="00000000" w14:paraId="000000E6">
            <w:pPr>
              <w:keepNext w:val="1"/>
              <w:keepLines w:val="0"/>
              <w:widowControl w:val="1"/>
              <w:spacing w:after="120" w:before="240" w:line="240" w:lineRule="auto"/>
              <w:ind w:left="142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7">
      <w:pPr>
        <w:keepNext w:val="0"/>
        <w:keepLines w:val="0"/>
        <w:widowControl w:val="1"/>
        <w:spacing w:after="200" w:before="0" w:line="276" w:lineRule="auto"/>
        <w:ind w:left="792" w:right="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C">
    <w:pPr>
      <w:tabs>
        <w:tab w:val="center" w:pos="4513"/>
        <w:tab w:val="right" w:pos="9026"/>
      </w:tabs>
      <w:spacing w:after="0" w:before="0" w:line="24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tabs>
        <w:tab w:val="center" w:pos="4513"/>
        <w:tab w:val="right" w:pos="9026"/>
      </w:tabs>
      <w:spacing w:after="0" w:before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E">
    <w:pPr>
      <w:keepNext w:val="0"/>
      <w:keepLines w:val="0"/>
      <w:widowControl w:val="1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  <w:rtl w:val="0"/>
      </w:rPr>
      <w:t xml:space="preserve">Project Version: v1.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  <w:rtl w:val="0"/>
      </w:rPr>
      <w:tab/>
      <w:tab/>
      <w:t xml:space="preserve">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spacing w:after="0" w:before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0">
    <w:pPr>
      <w:tabs>
        <w:tab w:val="center" w:pos="4513"/>
        <w:tab w:val="right" w:pos="9026"/>
      </w:tabs>
      <w:spacing w:after="0" w:before="0" w:line="24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tabs>
        <w:tab w:val="center" w:pos="4513"/>
        <w:tab w:val="right" w:pos="9026"/>
      </w:tabs>
      <w:spacing w:after="0" w:before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2">
    <w:pPr>
      <w:keepNext w:val="0"/>
      <w:keepLines w:val="0"/>
      <w:widowControl w:val="1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  <w:rtl w:val="0"/>
      </w:rPr>
      <w:t xml:space="preserve">Project Version: v1.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  <w:rtl w:val="0"/>
      </w:rPr>
      <w:tab/>
      <w:tab/>
      <w:t xml:space="preserve">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spacing w:after="0" w:before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8">
    <w:pPr>
      <w:keepNext w:val="0"/>
      <w:keepLines w:val="0"/>
      <w:widowControl w:val="1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rtl w:val="0"/>
      </w:rPr>
      <w:t xml:space="preserve">Framework Award Form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widowControl w:val="1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A">
    <w:pPr>
      <w:keepNext w:val="0"/>
      <w:keepLines w:val="0"/>
      <w:widowControl w:val="1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rtl w:val="0"/>
      </w:rPr>
      <w:t xml:space="preserve">Framework Award Form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widowControl w:val="1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44" w:hanging="358.99999999999994"/>
      </w:pPr>
      <w:rPr>
        <w:rFonts w:ascii="Arial" w:cs="Arial" w:eastAsia="Arial" w:hAnsi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440" w:hanging="360"/>
      </w:pPr>
      <w:rPr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2430" w:hanging="360"/>
      </w:pPr>
      <w:rPr/>
    </w:lvl>
    <w:lvl w:ilvl="2">
      <w:start w:val="1"/>
      <w:numFmt w:val="bullet"/>
      <w:lvlText w:val="▪"/>
      <w:lvlJc w:val="left"/>
      <w:pPr>
        <w:ind w:left="3150" w:hanging="360"/>
      </w:pPr>
      <w:rPr/>
    </w:lvl>
    <w:lvl w:ilvl="3">
      <w:start w:val="1"/>
      <w:numFmt w:val="bullet"/>
      <w:lvlText w:val="●"/>
      <w:lvlJc w:val="left"/>
      <w:pPr>
        <w:ind w:left="3870" w:hanging="360"/>
      </w:pPr>
      <w:rPr/>
    </w:lvl>
    <w:lvl w:ilvl="4">
      <w:start w:val="1"/>
      <w:numFmt w:val="bullet"/>
      <w:lvlText w:val="o"/>
      <w:lvlJc w:val="left"/>
      <w:pPr>
        <w:ind w:left="4590" w:hanging="360"/>
      </w:pPr>
      <w:rPr/>
    </w:lvl>
    <w:lvl w:ilvl="5">
      <w:start w:val="1"/>
      <w:numFmt w:val="bullet"/>
      <w:lvlText w:val="▪"/>
      <w:lvlJc w:val="left"/>
      <w:pPr>
        <w:ind w:left="5310" w:hanging="360"/>
      </w:pPr>
      <w:rPr/>
    </w:lvl>
    <w:lvl w:ilvl="6">
      <w:start w:val="1"/>
      <w:numFmt w:val="bullet"/>
      <w:lvlText w:val="●"/>
      <w:lvlJc w:val="left"/>
      <w:pPr>
        <w:ind w:left="6030" w:hanging="360"/>
      </w:pPr>
      <w:rPr/>
    </w:lvl>
    <w:lvl w:ilvl="7">
      <w:start w:val="1"/>
      <w:numFmt w:val="bullet"/>
      <w:lvlText w:val="o"/>
      <w:lvlJc w:val="left"/>
      <w:pPr>
        <w:ind w:left="6750" w:hanging="360"/>
      </w:pPr>
      <w:rPr/>
    </w:lvl>
    <w:lvl w:ilvl="8">
      <w:start w:val="1"/>
      <w:numFmt w:val="bullet"/>
      <w:lvlText w:val="▪"/>
      <w:lvlJc w:val="left"/>
      <w:pPr>
        <w:ind w:left="747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b w:val="0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-5585"/>
      </w:tabs>
      <w:spacing w:after="120" w:before="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-8987"/>
        <w:tab w:val="left" w:pos="-8420"/>
      </w:tabs>
      <w:spacing w:after="120" w:before="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